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包联驻村专项经费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10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10</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7.56</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10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7.56</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75.6%</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落实中央关于基层组织和基层政权建设有关要求，聚焦聚力乡村振兴、脱贫攻坚两大战略任务，助推基层加快发展，引领群众增收致富。</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1、加强教育培训。2、指导党建工作。3、抓好脱贫攻坚。4、助推产业发展。5、发展集体经济。6、整治人居环境。7、培育文明乡风。8、完善社会治理。9、履行监督职责。10、大力兴办实事。</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驻村帮扶项目</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eastAsia" w:eastAsia="宋体"/>
                <w:bCs/>
                <w:color w:val="000000"/>
                <w:sz w:val="13"/>
                <w:szCs w:val="13"/>
                <w:lang w:eastAsia="zh-CN"/>
              </w:rPr>
            </w:pPr>
            <w:r>
              <w:rPr>
                <w:rFonts w:hint="eastAsia"/>
                <w:color w:val="000000"/>
                <w:sz w:val="13"/>
                <w:szCs w:val="13"/>
                <w:lang w:val="en-US" w:eastAsia="zh-CN"/>
              </w:rPr>
              <w:t>1</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712"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驻村各项任务落实情况</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96%</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23</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项目落实阻力大，下一步妥善协商</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带动群众就业增长率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≥70%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70%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left"/>
              <w:rPr>
                <w:rFonts w:hint="eastAsia" w:eastAsia="宋体"/>
                <w:color w:val="000000"/>
                <w:sz w:val="13"/>
                <w:szCs w:val="13"/>
                <w:lang w:eastAsia="zh-CN"/>
              </w:rPr>
            </w:pPr>
            <w:r>
              <w:rPr>
                <w:rFonts w:hint="eastAsia"/>
                <w:color w:val="000000"/>
                <w:sz w:val="13"/>
                <w:szCs w:val="13"/>
                <w:lang w:eastAsia="zh-CN"/>
              </w:rPr>
              <w:t>村民对驻村工作组的满意度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≥95%</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97%</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98</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社区矫正专项经费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5</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r>
              <w:rPr>
                <w:rFonts w:hint="eastAsia"/>
                <w:b/>
                <w:bCs/>
                <w:color w:val="000000"/>
                <w:sz w:val="13"/>
                <w:szCs w:val="13"/>
                <w:lang w:val="en-US" w:eastAsia="zh-CN"/>
              </w:rPr>
              <w:t>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5</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按照“四位一体”的设计思路，着力打造热线平台、网络平台、手机平台和服务大厅的“12348”综合服务体系。</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12348”热线平台：将“12348”法律援助热线升级为涵盖司法行政所有职能于一体的公共服务平台，实现法律服务“一线通”。2、“12348”网平台：设计开发“12348”应用软件，设置律师公证、法律援助、司法鉴定、人民调解、法制宣传、司法考试、法律地图等8大核心栏目40余个服务板块，实现法律服务“一网通”。3、“12348”手机平台：推出微信定位查找，微信微博办事等服务功能，方便群众通过手机终端查询法律服务机构，申请法律服务，实现法律服务“一掌通”。4、建立服务大厅，接听法律服务热线，进行咨询解答。</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平台服务人数</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≥1000000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color w:val="000000"/>
                <w:sz w:val="13"/>
                <w:szCs w:val="13"/>
                <w:lang w:val="en-US" w:eastAsia="zh-CN"/>
              </w:rPr>
              <w:t>1000000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平台解决问题数</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≥96%</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97%</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平台咨询人数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≥500000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550000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人民群众对平台服务的满意度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≥96%</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97%</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eastAsia="zh-CN"/>
              </w:rPr>
              <w:t>法律顾问专项经费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150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150</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150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150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150</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提高政府依法决策水平，全面推进依法行政，建设法治政府。</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建立政府法制机构人员为主体、吸收专家和律师参加的法律顾问队伍，保证法律顾问在制定重大行政决策、推进依法行政中发挥积极作用。</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完成案件数量增长率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完成案件重新申诉率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≤30%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规范行政部门执法依据</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≥3%</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服务群众满意度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≥90%</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法律援助专项经费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鄂尔多斯市法律援助中心</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45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45</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45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45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45</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支付律师办案补贴和律师值班补贴。</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完成支付律师办案补贴和律师值班补贴。</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法律援助案件数量</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≥300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color w:val="000000"/>
                <w:sz w:val="13"/>
                <w:szCs w:val="13"/>
                <w:lang w:val="en-US" w:eastAsia="zh-CN"/>
              </w:rPr>
              <w:t>300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法律援助案件办案质量</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≥85%</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法律援助案件增长率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≥10%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22</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本年案件数较少</w:t>
            </w: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left"/>
              <w:rPr>
                <w:rFonts w:hint="eastAsia" w:eastAsia="宋体"/>
                <w:color w:val="000000"/>
                <w:sz w:val="13"/>
                <w:szCs w:val="13"/>
                <w:lang w:eastAsia="zh-CN"/>
              </w:rPr>
            </w:pPr>
            <w:r>
              <w:rPr>
                <w:rFonts w:hint="eastAsia"/>
                <w:color w:val="000000"/>
                <w:sz w:val="13"/>
                <w:szCs w:val="13"/>
                <w:lang w:eastAsia="zh-CN"/>
              </w:rPr>
              <w:t>群众对法律援助案件满意度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97%</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22</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96</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离退休干部专项经费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2.8</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56%</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努力把离退休干部党组织建设成为团结凝聚离退休干部党员的坚强政治核心、坚固战斗堡垒和坚实思想阵地。</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保障离退休干部党组织正常运转和开展活动所必需的开支。</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离退休干部开展党组织活动次数</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≥12</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color w:val="000000"/>
                <w:sz w:val="13"/>
                <w:szCs w:val="13"/>
                <w:lang w:val="en-US" w:eastAsia="zh-CN"/>
              </w:rPr>
              <w:t>12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92"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离退休干部党组织举办成功率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w:t>
            </w:r>
            <w:r>
              <w:rPr>
                <w:rFonts w:hint="eastAsia"/>
                <w:color w:val="000000"/>
                <w:sz w:val="13"/>
                <w:szCs w:val="13"/>
                <w:lang w:val="en-US" w:eastAsia="zh-CN"/>
              </w:rPr>
              <w:t>0</w:t>
            </w:r>
            <w:r>
              <w:rPr>
                <w:rFonts w:hint="eastAsia"/>
                <w:color w:val="000000"/>
                <w:sz w:val="13"/>
                <w:szCs w:val="13"/>
              </w:rPr>
              <w:t>%</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退休干部参与积极性不高</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离退休干部参与党组织活动率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≥96%</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r>
              <w:rPr>
                <w:rFonts w:hint="eastAsia"/>
                <w:bCs/>
                <w:color w:val="000000"/>
                <w:sz w:val="13"/>
                <w:szCs w:val="13"/>
                <w:lang w:eastAsia="zh-CN"/>
              </w:rPr>
              <w:t>退休干部参与积极性不高</w:t>
            </w: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left"/>
              <w:rPr>
                <w:rFonts w:hint="eastAsia" w:eastAsia="宋体"/>
                <w:color w:val="000000"/>
                <w:sz w:val="13"/>
                <w:szCs w:val="13"/>
                <w:lang w:eastAsia="zh-CN"/>
              </w:rPr>
            </w:pPr>
            <w:r>
              <w:rPr>
                <w:rFonts w:hint="eastAsia"/>
                <w:color w:val="000000"/>
                <w:sz w:val="13"/>
                <w:szCs w:val="13"/>
                <w:lang w:eastAsia="zh-CN"/>
              </w:rPr>
              <w:t>离退休干部对党组织活动的满意度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≥96%</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r>
              <w:rPr>
                <w:rFonts w:hint="eastAsia"/>
                <w:bCs/>
                <w:color w:val="000000"/>
                <w:sz w:val="13"/>
                <w:szCs w:val="13"/>
                <w:lang w:eastAsia="zh-CN"/>
              </w:rPr>
              <w:t>退休干部参与积极性不高</w:t>
            </w: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85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律师、公证管理专项经费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10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
                <w:bCs/>
                <w:color w:val="000000"/>
                <w:sz w:val="13"/>
                <w:szCs w:val="13"/>
                <w:lang w:val="en-US"/>
              </w:rPr>
            </w:pPr>
            <w:r>
              <w:rPr>
                <w:rFonts w:hint="eastAsia"/>
                <w:b/>
                <w:bCs/>
                <w:color w:val="000000"/>
                <w:sz w:val="13"/>
                <w:szCs w:val="13"/>
                <w:lang w:val="en-US" w:eastAsia="zh-CN"/>
              </w:rPr>
              <w:t>10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10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建立律师人才专家库，推荐选拔优秀律师事务所和律师为在（境）外上市的中国企业和关系国计民生的大型骨干国有企业提供法律服务。适应对外开放的需要，着力培养一批具有国际眼光、精通涉外法律业务的高素质律师人才。</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加强对律师事务所负责人、合伙人、骨干律师和新执业律师的培训，使广大律师精通法律、熟悉国情、了解社会，不断提高业务素质。2、进一步完善律师管理制度规范体系。3、建立健全由司法行政机关指定的具有人事档案管理资质的机构集中管理律师执业档案的制度和机制。4、尽快实现对律师跨地区执业的动态监管。5、加强律师事务所建设和管理。</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培训律师专业人才的班次</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≥4</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color w:val="000000"/>
                <w:sz w:val="13"/>
                <w:szCs w:val="13"/>
                <w:lang w:val="en-US" w:eastAsia="zh-CN"/>
              </w:rPr>
              <w:t>4</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培训律师专业人才合格率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≥97%</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律师专业知识提高率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≥60%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62%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群众咨询律师满意度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≥98%</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普法宣传依法治理专项经费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40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
                <w:bCs/>
                <w:color w:val="000000"/>
                <w:sz w:val="13"/>
                <w:szCs w:val="13"/>
                <w:lang w:val="en-US"/>
              </w:rPr>
            </w:pPr>
            <w:r>
              <w:rPr>
                <w:rFonts w:hint="eastAsia"/>
                <w:b/>
                <w:bCs/>
                <w:color w:val="000000"/>
                <w:sz w:val="13"/>
                <w:szCs w:val="13"/>
                <w:lang w:val="en-US" w:eastAsia="zh-CN"/>
              </w:rPr>
              <w:t>40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8.1</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40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40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32.25</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80.63%</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宪法、民族区域自治法及相关法律和党内法规制度得到深入宣传；健全完善科学有效的法治宣传教育领导体制和工作机制，社会治理法治化水平明显提高；法治宣传教育与精神文明建设融合推进，法治文化繁荣发展；更加广泛地将新媒体新技术应用于法治宣传教育工作中，促进法治宣传教育网络全方位覆盖；领导干部和国家工作人员运用法治思维和法治方式的能力明显提高，推动法治政府基本建成；把法治宣传纳入国民教育体系，青少年法律素质明显提高；市民法治观念和全体党员党章党规意识明显增强，法治社会建设取得显著进展。</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加快法治鄂尔多斯建设，全市70%的旗区、60%的苏木乡镇（街道）和50%的嘎查村（社区）都要达到自治区创建标准。2、积极开展“依法行政示范单位”“诚信守法单位”等创建活动，不断建立健全创建工作标准和评价指标体系，形成动态创建机制，提高社会管理法治化水平。</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法治宣传教育服务人数</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≥1500000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color w:val="000000"/>
                <w:sz w:val="13"/>
                <w:szCs w:val="13"/>
                <w:lang w:val="en-US" w:eastAsia="zh-CN"/>
              </w:rPr>
              <w:t>1550000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法律素质增长率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≥80%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75%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22</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宣传形式单一</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社会运用法律维权率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≥70%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65%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法律知识淡薄</w:t>
            </w: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群众对法治宣传满意度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≥95%</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92</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人民调解、人民监督员专项经费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30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
                <w:bCs/>
                <w:color w:val="000000"/>
                <w:sz w:val="13"/>
                <w:szCs w:val="13"/>
                <w:lang w:val="en-US"/>
              </w:rPr>
            </w:pPr>
            <w:r>
              <w:rPr>
                <w:rFonts w:hint="eastAsia"/>
                <w:b/>
                <w:bCs/>
                <w:color w:val="000000"/>
                <w:sz w:val="13"/>
                <w:szCs w:val="13"/>
                <w:lang w:val="en-US" w:eastAsia="zh-CN"/>
              </w:rPr>
              <w:t>30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9.4</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30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30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28.22</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94.06%</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司法行政机关和人民调解组织要做到各类矛盾纠纷应调尽调，力争调解率达到100%，成功率不低于96%，协议履行率不低于90%。</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建立以苏木乡镇（街道）人民调解委员会为核心，嘎查村（居）人民调解委员会为基础的人民调解组织。2、全面规范人民调解工作，积极开展规范化人民调解委员创建活动。3、建立健全社情报告、联防联调、参与社会治安综合治理等工作机制。4、排查防激化，调解创“四无”活动去得明显社会效果。5、人民调解制度与诉讼制度相衔接，人民调解的法律效力不断增强，当事人的合法权益得到及时有效维护。6、逐步建立全市人民监督员数据库，使人民监督员数据库覆盖全市各行各业和全部旗县。</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p>
            <w:pPr>
              <w:spacing w:line="160" w:lineRule="exact"/>
              <w:jc w:val="center"/>
              <w:rPr>
                <w:b/>
                <w:bCs/>
                <w:color w:val="000000"/>
                <w:sz w:val="13"/>
                <w:szCs w:val="13"/>
              </w:rPr>
            </w:pPr>
            <w:r>
              <w:rPr>
                <w:rFonts w:hint="eastAsia"/>
                <w:b/>
                <w:bCs/>
                <w:color w:val="000000"/>
                <w:sz w:val="13"/>
                <w:szCs w:val="13"/>
              </w:rPr>
              <w:t>　</w:t>
            </w:r>
          </w:p>
        </w:tc>
        <w:tc>
          <w:tcPr>
            <w:tcW w:w="729" w:type="dxa"/>
            <w:vMerge w:val="restart"/>
            <w:tcBorders>
              <w:top w:val="single" w:color="000000" w:sz="4" w:space="0"/>
              <w:left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人民监督员培训的班次</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729" w:type="dxa"/>
            <w:vMerge w:val="continue"/>
            <w:tcBorders>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rFonts w:hint="eastAsia"/>
                <w:color w:val="000000"/>
                <w:sz w:val="13"/>
                <w:szCs w:val="13"/>
              </w:rPr>
            </w:pPr>
            <w:r>
              <w:rPr>
                <w:rFonts w:hint="eastAsia"/>
                <w:color w:val="000000"/>
                <w:sz w:val="13"/>
                <w:szCs w:val="13"/>
              </w:rPr>
              <w:t>调解纠纷案件数</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rFonts w:hint="eastAsia"/>
                <w:color w:val="000000"/>
                <w:sz w:val="13"/>
                <w:szCs w:val="13"/>
              </w:rPr>
            </w:pPr>
            <w:r>
              <w:rPr>
                <w:rFonts w:hint="eastAsia"/>
                <w:color w:val="000000"/>
                <w:sz w:val="13"/>
                <w:szCs w:val="13"/>
              </w:rPr>
              <w:t>≥15000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color w:val="000000"/>
                <w:sz w:val="13"/>
                <w:szCs w:val="13"/>
                <w:lang w:val="en-US" w:eastAsia="zh-CN"/>
              </w:rPr>
            </w:pPr>
            <w:r>
              <w:rPr>
                <w:rFonts w:hint="eastAsia"/>
                <w:color w:val="000000"/>
                <w:sz w:val="13"/>
                <w:szCs w:val="13"/>
                <w:lang w:val="en-US" w:eastAsia="zh-CN"/>
              </w:rPr>
              <w:t>13000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bCs/>
                <w:color w:val="000000"/>
                <w:sz w:val="13"/>
                <w:szCs w:val="13"/>
                <w:lang w:val="en-US" w:eastAsia="zh-CN"/>
              </w:rPr>
            </w:pPr>
            <w:r>
              <w:rPr>
                <w:rFonts w:hint="eastAsia"/>
                <w:bCs/>
                <w:color w:val="000000"/>
                <w:sz w:val="13"/>
                <w:szCs w:val="13"/>
                <w:lang w:val="en-US" w:eastAsia="zh-CN"/>
              </w:rPr>
              <w:t>15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13</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本年度案件数较少</w:t>
            </w: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vMerge w:val="restart"/>
            <w:tcBorders>
              <w:top w:val="single" w:color="000000" w:sz="4" w:space="0"/>
              <w:left w:val="nil"/>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人民监督员培训合格率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vMerge w:val="continue"/>
            <w:tcBorders>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rFonts w:hint="eastAsia"/>
                <w:color w:val="000000"/>
                <w:sz w:val="13"/>
                <w:szCs w:val="13"/>
              </w:rPr>
            </w:pPr>
            <w:r>
              <w:rPr>
                <w:rFonts w:hint="eastAsia"/>
                <w:color w:val="000000"/>
                <w:sz w:val="13"/>
                <w:szCs w:val="13"/>
              </w:rPr>
              <w:t>调解纠纷案件成功率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rFonts w:hint="eastAsia"/>
                <w:color w:val="000000"/>
                <w:sz w:val="13"/>
                <w:szCs w:val="13"/>
              </w:rPr>
            </w:pPr>
            <w:r>
              <w:rPr>
                <w:rFonts w:hint="eastAsia"/>
                <w:color w:val="000000"/>
                <w:sz w:val="13"/>
                <w:szCs w:val="13"/>
              </w:rPr>
              <w:t>≥96%</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bCs/>
                <w:color w:val="000000"/>
                <w:sz w:val="13"/>
                <w:szCs w:val="13"/>
                <w:lang w:val="en-US" w:eastAsia="zh-CN"/>
              </w:rPr>
            </w:pPr>
            <w:r>
              <w:rPr>
                <w:rFonts w:hint="eastAsia"/>
                <w:bCs/>
                <w:color w:val="000000"/>
                <w:sz w:val="13"/>
                <w:szCs w:val="13"/>
                <w:lang w:val="en-US" w:eastAsia="zh-CN"/>
              </w:rPr>
              <w:t>96%</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bCs/>
                <w:color w:val="000000"/>
                <w:sz w:val="13"/>
                <w:szCs w:val="13"/>
                <w:lang w:val="en-US" w:eastAsia="zh-CN"/>
              </w:rPr>
            </w:pPr>
            <w:r>
              <w:rPr>
                <w:rFonts w:hint="eastAsia"/>
                <w:bCs/>
                <w:color w:val="000000"/>
                <w:sz w:val="13"/>
                <w:szCs w:val="13"/>
                <w:lang w:val="en-US" w:eastAsia="zh-CN"/>
              </w:rPr>
              <w:t>15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p>
        </w:tc>
        <w:tc>
          <w:tcPr>
            <w:tcW w:w="729" w:type="dxa"/>
            <w:vMerge w:val="restart"/>
            <w:tcBorders>
              <w:top w:val="single" w:color="000000" w:sz="4" w:space="0"/>
              <w:left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检察工作透明度和执法公信力增长率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1301" w:type="dxa"/>
            <w:tcBorders>
              <w:top w:val="nil"/>
              <w:left w:val="nil"/>
              <w:bottom w:val="single" w:color="auto" w:sz="4" w:space="0"/>
              <w:right w:val="nil"/>
            </w:tcBorders>
            <w:shd w:val="clear" w:color="auto" w:fill="auto"/>
            <w:noWrap/>
            <w:vAlign w:val="center"/>
          </w:tcPr>
          <w:p>
            <w:pPr>
              <w:spacing w:line="160" w:lineRule="exact"/>
              <w:rPr>
                <w:color w:val="000000"/>
                <w:sz w:val="13"/>
                <w:szCs w:val="13"/>
              </w:rPr>
            </w:pPr>
            <w:r>
              <w:rPr>
                <w:rFonts w:hint="eastAsia"/>
                <w:color w:val="000000"/>
                <w:sz w:val="13"/>
                <w:szCs w:val="13"/>
              </w:rPr>
              <w:t>≥80%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82%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single" w:color="000000" w:sz="4" w:space="0"/>
              <w:bottom w:val="nil"/>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729" w:type="dxa"/>
            <w:vMerge w:val="continue"/>
            <w:tcBorders>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color w:val="000000"/>
                <w:sz w:val="13"/>
                <w:szCs w:val="13"/>
              </w:rPr>
            </w:pPr>
            <w:r>
              <w:rPr>
                <w:rFonts w:hint="eastAsia"/>
                <w:color w:val="000000"/>
                <w:sz w:val="13"/>
                <w:szCs w:val="13"/>
              </w:rPr>
              <w:t>纠纷案件上访率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rFonts w:hint="eastAsia"/>
                <w:color w:val="000000"/>
                <w:sz w:val="13"/>
                <w:szCs w:val="13"/>
              </w:rPr>
            </w:pPr>
            <w:r>
              <w:rPr>
                <w:rFonts w:hint="eastAsia"/>
                <w:color w:val="000000"/>
                <w:sz w:val="13"/>
                <w:szCs w:val="13"/>
              </w:rPr>
              <w:t>≤20%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bCs/>
                <w:color w:val="000000"/>
                <w:sz w:val="13"/>
                <w:szCs w:val="13"/>
                <w:lang w:val="en-US" w:eastAsia="zh-CN"/>
              </w:rPr>
            </w:pPr>
            <w:r>
              <w:rPr>
                <w:rFonts w:hint="eastAsia"/>
                <w:bCs/>
                <w:color w:val="000000"/>
                <w:sz w:val="13"/>
                <w:szCs w:val="13"/>
                <w:lang w:val="en-US" w:eastAsia="zh-CN"/>
              </w:rPr>
              <w:t>15%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bCs/>
                <w:color w:val="000000"/>
                <w:sz w:val="13"/>
                <w:szCs w:val="13"/>
                <w:lang w:val="en-US" w:eastAsia="zh-CN"/>
              </w:rPr>
            </w:pPr>
            <w:r>
              <w:rPr>
                <w:rFonts w:hint="eastAsia"/>
                <w:bCs/>
                <w:color w:val="000000"/>
                <w:sz w:val="13"/>
                <w:szCs w:val="13"/>
                <w:lang w:val="en-US" w:eastAsia="zh-CN"/>
              </w:rPr>
              <w:t>15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left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single" w:color="000000" w:sz="4" w:space="0"/>
              <w:left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vMerge w:val="restart"/>
            <w:tcBorders>
              <w:top w:val="single" w:color="000000" w:sz="4" w:space="0"/>
              <w:left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群众满意度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≥95%</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96%</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10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left w:val="nil"/>
              <w:bottom w:val="nil"/>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729" w:type="dxa"/>
            <w:vMerge w:val="continue"/>
            <w:tcBorders>
              <w:left w:val="nil"/>
              <w:bottom w:val="nil"/>
              <w:right w:val="single" w:color="000000" w:sz="4" w:space="0"/>
            </w:tcBorders>
            <w:shd w:val="clear" w:color="auto" w:fill="auto"/>
            <w:noWrap w:val="0"/>
            <w:vAlign w:val="center"/>
          </w:tcPr>
          <w:p>
            <w:pPr>
              <w:spacing w:line="160" w:lineRule="exact"/>
              <w:jc w:val="center"/>
              <w:rPr>
                <w:rFonts w:hint="eastAsia"/>
                <w:b/>
                <w:bCs/>
                <w:color w:val="000000"/>
                <w:sz w:val="13"/>
                <w:szCs w:val="13"/>
              </w:rPr>
            </w:pP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color w:val="000000"/>
                <w:sz w:val="13"/>
                <w:szCs w:val="13"/>
                <w:lang w:eastAsia="zh-CN"/>
              </w:rPr>
            </w:pPr>
            <w:r>
              <w:rPr>
                <w:rFonts w:hint="eastAsia"/>
                <w:color w:val="000000"/>
                <w:sz w:val="13"/>
                <w:szCs w:val="13"/>
                <w:lang w:eastAsia="zh-CN"/>
              </w:rPr>
              <w:t>人民群众对人民监督员满意度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rFonts w:hint="eastAsia"/>
                <w:color w:val="000000"/>
                <w:sz w:val="13"/>
                <w:szCs w:val="13"/>
              </w:rPr>
            </w:pPr>
            <w:r>
              <w:rPr>
                <w:rFonts w:hint="eastAsia"/>
                <w:color w:val="000000"/>
                <w:sz w:val="13"/>
                <w:szCs w:val="13"/>
              </w:rPr>
              <w:t>≥98%</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bCs/>
                <w:color w:val="000000"/>
                <w:sz w:val="13"/>
                <w:szCs w:val="13"/>
                <w:lang w:val="en-US" w:eastAsia="zh-CN"/>
              </w:rPr>
            </w:pPr>
            <w:r>
              <w:rPr>
                <w:rFonts w:hint="eastAsia"/>
                <w:bCs/>
                <w:color w:val="000000"/>
                <w:sz w:val="13"/>
                <w:szCs w:val="13"/>
                <w:lang w:val="en-US" w:eastAsia="zh-CN"/>
              </w:rPr>
              <w:t>15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bCs/>
                <w:color w:val="000000"/>
                <w:sz w:val="13"/>
                <w:szCs w:val="13"/>
                <w:lang w:val="en-US" w:eastAsia="zh-CN"/>
              </w:rPr>
            </w:pPr>
            <w:r>
              <w:rPr>
                <w:rFonts w:hint="eastAsia"/>
                <w:bCs/>
                <w:color w:val="000000"/>
                <w:sz w:val="13"/>
                <w:szCs w:val="13"/>
                <w:lang w:val="en-US" w:eastAsia="zh-CN"/>
              </w:rPr>
              <w:t>15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98</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tbl>
      <w:tblPr>
        <w:tblStyle w:val="2"/>
        <w:tblpPr w:leftFromText="180" w:rightFromText="180" w:vertAnchor="page" w:horzAnchor="page" w:tblpX="1863" w:tblpY="1442"/>
        <w:tblOverlap w:val="never"/>
        <w:tblW w:w="8434" w:type="dxa"/>
        <w:tblInd w:w="0"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社区矫正专项经费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15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15</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4.1</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15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r>
              <w:rPr>
                <w:rFonts w:hint="eastAsia"/>
                <w:b/>
                <w:bCs/>
                <w:color w:val="000000"/>
                <w:sz w:val="13"/>
                <w:szCs w:val="13"/>
                <w:lang w:val="en-US" w:eastAsia="zh-CN"/>
              </w:rPr>
              <w:t>15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6.16</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41.06%</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降低行刑成本，提高教育改造质量，最大限度地化消极因素为积极因素，维护社会稳定。</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合理配置行刑资源，提高罪犯教育改造质量，促进社会治安秩序的良性循环为目的，解放思想，开拓创新，充分利用社会各方力量，加大对非监禁邢犯罪的教育、矫正力度，预防和减少重新犯罪，为实现我市经济跨越式发展，建设经济强市目标创造良好的社会环境。</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社区矫正工作人员培训班次</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≥4</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eastAsia" w:eastAsia="宋体"/>
                <w:bCs/>
                <w:color w:val="000000"/>
                <w:sz w:val="13"/>
                <w:szCs w:val="13"/>
                <w:lang w:eastAsia="zh-CN"/>
              </w:rPr>
            </w:pPr>
            <w:r>
              <w:rPr>
                <w:rFonts w:hint="eastAsia"/>
                <w:color w:val="000000"/>
                <w:sz w:val="13"/>
                <w:szCs w:val="13"/>
                <w:lang w:val="en-US" w:eastAsia="zh-CN"/>
              </w:rPr>
              <w:t>4</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社区矫正人员减少率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≥40%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30%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22</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r>
              <w:rPr>
                <w:rFonts w:hint="eastAsia"/>
                <w:bCs/>
                <w:color w:val="000000"/>
                <w:sz w:val="13"/>
                <w:szCs w:val="13"/>
                <w:lang w:eastAsia="zh-CN"/>
              </w:rPr>
              <w:t>长期性目标</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社会犯罪率减少</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≥20%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15</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r>
              <w:rPr>
                <w:rFonts w:hint="eastAsia"/>
                <w:bCs/>
                <w:color w:val="000000"/>
                <w:sz w:val="13"/>
                <w:szCs w:val="13"/>
                <w:lang w:eastAsia="zh-CN"/>
              </w:rPr>
              <w:t>长期性目标</w:t>
            </w: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人民群众满意度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≥96%</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97%</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97</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eastAsia="zh-CN"/>
              </w:rPr>
              <w:t>司法鉴定</w:t>
            </w:r>
            <w:r>
              <w:rPr>
                <w:rFonts w:hint="eastAsia"/>
                <w:b/>
                <w:bCs/>
                <w:color w:val="000000"/>
                <w:sz w:val="13"/>
                <w:szCs w:val="13"/>
              </w:rPr>
              <w:t>专项经费</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5</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5</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r>
              <w:rPr>
                <w:rFonts w:hint="eastAsia"/>
                <w:b/>
                <w:bCs/>
                <w:color w:val="000000"/>
                <w:sz w:val="13"/>
                <w:szCs w:val="13"/>
                <w:lang w:val="en-US" w:eastAsia="zh-CN"/>
              </w:rPr>
              <w:t>5</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5</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切实加强司法鉴定规范化管理，着力打造过硬工作队伍，进一步提升工作质量和公信力，推动全区司法鉴定工作再上新台阶。</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开展在岗自学、集中培训相结合的多种形式的继续教育，重点抓好法医类鉴定、物证类鉴定、声像资料类鉴定教育培训，不断加强自身建设，提高司法鉴定队伍政治、业务素质和职业道德素质，为当事人和司法机关提高高质量的司法鉴定服务。2、年内完成副高职称以上医务人员参加法医临床司法鉴定人转岗培训及《人体损伤致残程度分级》专题培训班。3、建立信任司法鉴定人员岗前培训制度，确保做到上岗人员教育培训的全覆盖。</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司法鉴定人员培训的班次</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≥2</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司法鉴定准确率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司法鉴定投诉、信访和行政复议、行政诉讼下降率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≥90%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人民群众对司法鉴定的满意度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≥98%</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p/>
    <w:p/>
    <w:p/>
    <w:p/>
    <w:p/>
    <w:p/>
    <w:p/>
    <w:p/>
    <w:p/>
    <w:p/>
    <w:p/>
    <w:p/>
    <w:p/>
    <w:p/>
    <w:p/>
    <w:p/>
    <w:p/>
    <w:p/>
    <w:tbl>
      <w:tblPr>
        <w:tblStyle w:val="2"/>
        <w:tblW w:w="8434" w:type="dxa"/>
        <w:tblInd w:w="93" w:type="dxa"/>
        <w:tblLayout w:type="fixed"/>
        <w:tblCellMar>
          <w:top w:w="0" w:type="dxa"/>
          <w:left w:w="108" w:type="dxa"/>
          <w:bottom w:w="0" w:type="dxa"/>
          <w:right w:w="108" w:type="dxa"/>
        </w:tblCellMar>
      </w:tblPr>
      <w:tblGrid>
        <w:gridCol w:w="431"/>
        <w:gridCol w:w="649"/>
        <w:gridCol w:w="729"/>
        <w:gridCol w:w="1935"/>
        <w:gridCol w:w="748"/>
        <w:gridCol w:w="1301"/>
        <w:gridCol w:w="768"/>
        <w:gridCol w:w="414"/>
        <w:gridCol w:w="609"/>
        <w:gridCol w:w="850"/>
      </w:tblGrid>
      <w:tr>
        <w:tblPrEx>
          <w:tblCellMar>
            <w:top w:w="0" w:type="dxa"/>
            <w:left w:w="108" w:type="dxa"/>
            <w:bottom w:w="0" w:type="dxa"/>
            <w:right w:w="108" w:type="dxa"/>
          </w:tblCellMar>
        </w:tblPrEx>
        <w:trPr>
          <w:trHeight w:val="285" w:hRule="atLeast"/>
        </w:trPr>
        <w:tc>
          <w:tcPr>
            <w:tcW w:w="8434" w:type="dxa"/>
            <w:gridSpan w:val="10"/>
            <w:tcBorders>
              <w:top w:val="nil"/>
              <w:left w:val="nil"/>
              <w:bottom w:val="nil"/>
              <w:right w:val="nil"/>
            </w:tcBorders>
            <w:shd w:val="clear" w:color="auto" w:fill="auto"/>
            <w:noWrap w:val="0"/>
            <w:vAlign w:val="center"/>
          </w:tcPr>
          <w:p>
            <w:pPr>
              <w:spacing w:line="240" w:lineRule="exact"/>
              <w:jc w:val="center"/>
              <w:rPr>
                <w:rFonts w:hint="eastAsia"/>
                <w:b/>
                <w:bCs/>
                <w:color w:val="000000"/>
                <w:sz w:val="18"/>
                <w:szCs w:val="18"/>
              </w:rPr>
            </w:pPr>
          </w:p>
          <w:p>
            <w:pPr>
              <w:spacing w:line="240" w:lineRule="exact"/>
              <w:jc w:val="center"/>
              <w:rPr>
                <w:b/>
                <w:bCs/>
                <w:color w:val="000000"/>
                <w:sz w:val="18"/>
                <w:szCs w:val="18"/>
              </w:rPr>
            </w:pPr>
            <w:r>
              <w:rPr>
                <w:rFonts w:hint="eastAsia"/>
                <w:b/>
                <w:bCs/>
                <w:color w:val="000000"/>
                <w:sz w:val="18"/>
                <w:szCs w:val="18"/>
              </w:rPr>
              <w:t xml:space="preserve">绩效目标自评表 </w:t>
            </w:r>
          </w:p>
        </w:tc>
      </w:tr>
      <w:tr>
        <w:tblPrEx>
          <w:tblCellMar>
            <w:top w:w="0" w:type="dxa"/>
            <w:left w:w="108" w:type="dxa"/>
            <w:bottom w:w="0" w:type="dxa"/>
            <w:right w:w="108" w:type="dxa"/>
          </w:tblCellMar>
        </w:tblPrEx>
        <w:trPr>
          <w:trHeight w:val="270" w:hRule="atLeast"/>
        </w:trPr>
        <w:tc>
          <w:tcPr>
            <w:tcW w:w="8434" w:type="dxa"/>
            <w:gridSpan w:val="10"/>
            <w:tcBorders>
              <w:top w:val="nil"/>
              <w:left w:val="nil"/>
              <w:bottom w:val="single" w:color="000000" w:sz="4" w:space="0"/>
              <w:right w:val="nil"/>
            </w:tcBorders>
            <w:shd w:val="clear" w:color="auto" w:fill="auto"/>
            <w:noWrap w:val="0"/>
            <w:vAlign w:val="top"/>
          </w:tcPr>
          <w:p>
            <w:pPr>
              <w:spacing w:line="240" w:lineRule="exact"/>
              <w:jc w:val="center"/>
              <w:rPr>
                <w:b/>
                <w:bCs/>
                <w:color w:val="000000"/>
                <w:sz w:val="13"/>
                <w:szCs w:val="13"/>
              </w:rPr>
            </w:pPr>
            <w:r>
              <w:rPr>
                <w:rFonts w:hint="eastAsia"/>
                <w:b/>
                <w:bCs/>
                <w:color w:val="000000"/>
                <w:sz w:val="13"/>
                <w:szCs w:val="13"/>
              </w:rPr>
              <w:t>（2019年度）</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项目名称</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信息化建设</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项目负责人及电话</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r>
        <w:tblPrEx>
          <w:tblCellMar>
            <w:top w:w="0" w:type="dxa"/>
            <w:left w:w="108" w:type="dxa"/>
            <w:bottom w:w="0" w:type="dxa"/>
            <w:right w:w="108" w:type="dxa"/>
          </w:tblCellMar>
        </w:tblPrEx>
        <w:trPr>
          <w:trHeight w:val="270" w:hRule="atLeast"/>
        </w:trPr>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主管部门</w:t>
            </w:r>
          </w:p>
        </w:tc>
        <w:tc>
          <w:tcPr>
            <w:tcW w:w="3412" w:type="dxa"/>
            <w:gridSpan w:val="3"/>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eastAsia" w:eastAsia="宋体"/>
                <w:b/>
                <w:bCs/>
                <w:color w:val="000000"/>
                <w:sz w:val="13"/>
                <w:szCs w:val="13"/>
                <w:lang w:eastAsia="zh-CN"/>
              </w:rPr>
            </w:pPr>
            <w:r>
              <w:rPr>
                <w:rFonts w:hint="eastAsia"/>
                <w:b/>
                <w:bCs/>
                <w:color w:val="000000"/>
                <w:sz w:val="13"/>
                <w:szCs w:val="13"/>
                <w:lang w:eastAsia="zh-CN"/>
              </w:rPr>
              <w:t>鄂尔多斯市司法局</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实施单位</w:t>
            </w:r>
          </w:p>
        </w:tc>
        <w:tc>
          <w:tcPr>
            <w:tcW w:w="264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eastAsia="zh-CN"/>
              </w:rPr>
            </w:pPr>
            <w:r>
              <w:rPr>
                <w:rFonts w:hint="eastAsia"/>
                <w:b/>
                <w:bCs/>
                <w:color w:val="000000"/>
                <w:sz w:val="13"/>
                <w:szCs w:val="13"/>
                <w:lang w:eastAsia="zh-CN"/>
              </w:rPr>
              <w:t>鄂尔多斯市司法局</w:t>
            </w:r>
          </w:p>
        </w:tc>
      </w:tr>
      <w:tr>
        <w:tblPrEx>
          <w:tblCellMar>
            <w:top w:w="0" w:type="dxa"/>
            <w:left w:w="108" w:type="dxa"/>
            <w:bottom w:w="0" w:type="dxa"/>
            <w:right w:w="108" w:type="dxa"/>
          </w:tblCellMar>
        </w:tblPrEx>
        <w:trPr>
          <w:trHeight w:val="480" w:hRule="atLeast"/>
        </w:trPr>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资金情况（万元）</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年初预算数</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全年预算数（A）</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全年执行数（B）</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执行率（B/A)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年度资金总额：</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rPr>
              <w:t>　</w:t>
            </w:r>
            <w:r>
              <w:rPr>
                <w:rFonts w:hint="eastAsia"/>
                <w:b/>
                <w:bCs/>
                <w:color w:val="000000"/>
                <w:sz w:val="13"/>
                <w:szCs w:val="13"/>
                <w:lang w:val="en-US" w:eastAsia="zh-CN"/>
              </w:rPr>
              <w:t>20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lang w:val="en-US" w:eastAsia="zh-CN"/>
              </w:rPr>
              <w:t>20</w:t>
            </w: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
                <w:bCs/>
                <w:color w:val="000000"/>
                <w:sz w:val="13"/>
                <w:szCs w:val="13"/>
                <w:lang w:val="en-US" w:eastAsia="zh-CN"/>
              </w:rPr>
            </w:pP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w:t>
            </w:r>
          </w:p>
        </w:tc>
      </w:tr>
      <w:tr>
        <w:tblPrEx>
          <w:tblCellMar>
            <w:top w:w="0" w:type="dxa"/>
            <w:left w:w="108" w:type="dxa"/>
            <w:bottom w:w="0" w:type="dxa"/>
            <w:right w:w="108" w:type="dxa"/>
          </w:tblCellMar>
        </w:tblPrEx>
        <w:trPr>
          <w:trHeight w:val="469"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其中：财政拨款</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rFonts w:hint="default" w:eastAsia="宋体"/>
                <w:b/>
                <w:bCs/>
                <w:color w:val="000000"/>
                <w:sz w:val="13"/>
                <w:szCs w:val="13"/>
                <w:lang w:val="en-US" w:eastAsia="zh-CN"/>
              </w:rPr>
            </w:pPr>
            <w:r>
              <w:rPr>
                <w:rFonts w:hint="eastAsia"/>
                <w:b/>
                <w:bCs/>
                <w:color w:val="000000"/>
                <w:sz w:val="13"/>
                <w:szCs w:val="13"/>
                <w:lang w:val="en-US" w:eastAsia="zh-CN"/>
              </w:rPr>
              <w:t xml:space="preserve">  20</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20</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20</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r>
              <w:rPr>
                <w:rFonts w:hint="eastAsia"/>
                <w:b/>
                <w:bCs/>
                <w:color w:val="000000"/>
                <w:sz w:val="13"/>
                <w:szCs w:val="13"/>
                <w:lang w:val="en-US" w:eastAsia="zh-CN"/>
              </w:rPr>
              <w:t>100%</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270" w:hRule="atLeast"/>
        </w:trPr>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xml:space="preserve">       其他资金</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1301"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6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c>
          <w:tcPr>
            <w:tcW w:w="1023"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850"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xml:space="preserve">- </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w:t>
            </w: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年初设定目标</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年度总体目标完成情况综述</w:t>
            </w:r>
          </w:p>
        </w:tc>
      </w:tr>
      <w:tr>
        <w:tblPrEx>
          <w:tblCellMar>
            <w:top w:w="0" w:type="dxa"/>
            <w:left w:w="108" w:type="dxa"/>
            <w:bottom w:w="0" w:type="dxa"/>
            <w:right w:w="108" w:type="dxa"/>
          </w:tblCellMar>
        </w:tblPrEx>
        <w:trPr>
          <w:trHeight w:val="1222" w:hRule="atLeas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4061" w:type="dxa"/>
            <w:gridSpan w:val="4"/>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建设覆盖全区司法行政系统网络互联互通、信息资源共享、标准规范统一、应用功能完备的信息化体系，全面提高司法行政信息资源综合开发利用水平和各项业务工作的信息技术应用能力，形成全员应用、资源共享的信息化工作格局，进一步提升司法行政服务经济社会发展的能力。</w:t>
            </w:r>
          </w:p>
        </w:tc>
        <w:tc>
          <w:tcPr>
            <w:tcW w:w="3942" w:type="dxa"/>
            <w:gridSpan w:val="5"/>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bCs/>
                <w:color w:val="000000"/>
                <w:sz w:val="13"/>
                <w:szCs w:val="13"/>
              </w:rPr>
            </w:pPr>
            <w:r>
              <w:rPr>
                <w:rFonts w:hint="eastAsia"/>
                <w:bCs/>
                <w:color w:val="000000"/>
                <w:sz w:val="13"/>
                <w:szCs w:val="13"/>
              </w:rPr>
              <w:t>1、完成司法行政系统自治区、盟市、旗县（市、区）、苏木乡镇（街道）四级联网。2、完成部分基础应用软件的开发、测试和试运行。3、业务系统的运维，网站的运维及正版化操作系统和办公软件的保障。4、视频会议系统和信息监控系统维护，信息化培训。5、视频会议室和指挥中心建设及其他软硬件设施购置。</w:t>
            </w:r>
          </w:p>
        </w:tc>
      </w:tr>
      <w:tr>
        <w:tblPrEx>
          <w:tblCellMar>
            <w:top w:w="0" w:type="dxa"/>
            <w:left w:w="108" w:type="dxa"/>
            <w:bottom w:w="0" w:type="dxa"/>
            <w:right w:w="108" w:type="dxa"/>
          </w:tblCellMar>
        </w:tblPrEx>
        <w:trPr>
          <w:trHeight w:val="458" w:hRule="atLeast"/>
        </w:trPr>
        <w:tc>
          <w:tcPr>
            <w:tcW w:w="431" w:type="dxa"/>
            <w:vMerge w:val="restart"/>
            <w:tcBorders>
              <w:top w:val="nil"/>
              <w:left w:val="single" w:color="000000" w:sz="4" w:space="0"/>
              <w:bottom w:val="single" w:color="000000" w:sz="4" w:space="0"/>
              <w:right w:val="single" w:color="000000" w:sz="4" w:space="0"/>
            </w:tcBorders>
            <w:shd w:val="clear" w:color="auto" w:fill="auto"/>
            <w:noWrap w:val="0"/>
            <w:textDirection w:val="tbRlV"/>
            <w:vAlign w:val="center"/>
          </w:tcPr>
          <w:p>
            <w:pPr>
              <w:spacing w:line="160" w:lineRule="exact"/>
              <w:jc w:val="center"/>
              <w:rPr>
                <w:b/>
                <w:bCs/>
                <w:color w:val="000000"/>
                <w:sz w:val="13"/>
                <w:szCs w:val="13"/>
              </w:rPr>
            </w:pPr>
            <w:r>
              <w:rPr>
                <w:rFonts w:hint="eastAsia"/>
                <w:b/>
                <w:bCs/>
                <w:color w:val="000000"/>
                <w:sz w:val="13"/>
                <w:szCs w:val="13"/>
              </w:rPr>
              <w:t>绩效指标</w:t>
            </w:r>
          </w:p>
        </w:tc>
        <w:tc>
          <w:tcPr>
            <w:tcW w:w="64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一级指标</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二级指标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三级指标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1301" w:type="dxa"/>
            <w:tcBorders>
              <w:top w:val="nil"/>
              <w:left w:val="nil"/>
              <w:bottom w:val="single" w:color="auto"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年度指标值</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全年实际完成值</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分值</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得分</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未完成原因及拟采取的改进措施</w:t>
            </w: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restart"/>
            <w:tcBorders>
              <w:top w:val="nil"/>
              <w:left w:val="single" w:color="000000" w:sz="4" w:space="0"/>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产出指标(</w:t>
            </w:r>
            <w:r>
              <w:rPr>
                <w:rFonts w:hint="eastAsia"/>
                <w:b/>
                <w:bCs/>
                <w:color w:val="000000"/>
                <w:sz w:val="13"/>
                <w:szCs w:val="13"/>
                <w:lang w:val="en-US" w:eastAsia="zh-CN"/>
              </w:rPr>
              <w:t>75</w:t>
            </w:r>
            <w:r>
              <w:rPr>
                <w:rFonts w:hint="eastAsia"/>
                <w:b/>
                <w:bCs/>
                <w:color w:val="000000"/>
                <w:sz w:val="13"/>
                <w:szCs w:val="13"/>
              </w:rPr>
              <w:t>分)</w:t>
            </w:r>
          </w:p>
        </w:tc>
        <w:tc>
          <w:tcPr>
            <w:tcW w:w="72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数量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 xml:space="preserve">服务工作人员数 </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≥70%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vMerge w:val="continue"/>
            <w:tcBorders>
              <w:top w:val="nil"/>
              <w:left w:val="single" w:color="000000" w:sz="4" w:space="0"/>
              <w:bottom w:val="nil"/>
              <w:right w:val="single" w:color="000000" w:sz="4" w:space="0"/>
            </w:tcBorders>
            <w:shd w:val="clear" w:color="auto" w:fill="auto"/>
            <w:noWrap w:val="0"/>
            <w:vAlign w:val="center"/>
          </w:tcPr>
          <w:p>
            <w:pPr>
              <w:spacing w:line="160" w:lineRule="exact"/>
              <w:rPr>
                <w:b/>
                <w:bCs/>
                <w:color w:val="000000"/>
                <w:sz w:val="13"/>
                <w:szCs w:val="13"/>
              </w:rPr>
            </w:pP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b/>
                <w:bCs/>
                <w:color w:val="000000"/>
                <w:sz w:val="13"/>
                <w:szCs w:val="13"/>
              </w:rPr>
            </w:pPr>
            <w:r>
              <w:rPr>
                <w:rFonts w:hint="eastAsia"/>
                <w:b/>
                <w:bCs/>
                <w:color w:val="000000"/>
                <w:sz w:val="13"/>
                <w:szCs w:val="13"/>
              </w:rPr>
              <w:t>质量</w:t>
            </w:r>
          </w:p>
          <w:p>
            <w:pPr>
              <w:spacing w:line="160" w:lineRule="exact"/>
              <w:jc w:val="center"/>
              <w:rPr>
                <w:b/>
                <w:bCs/>
                <w:color w:val="000000"/>
                <w:sz w:val="13"/>
                <w:szCs w:val="13"/>
              </w:rPr>
            </w:pPr>
            <w:r>
              <w:rPr>
                <w:rFonts w:hint="eastAsia"/>
                <w:b/>
                <w:bCs/>
                <w:color w:val="000000"/>
                <w:sz w:val="13"/>
                <w:szCs w:val="13"/>
              </w:rPr>
              <w:t>指标</w:t>
            </w:r>
          </w:p>
        </w:tc>
        <w:tc>
          <w:tcPr>
            <w:tcW w:w="1935" w:type="dxa"/>
            <w:tcBorders>
              <w:top w:val="single" w:color="000000" w:sz="4" w:space="0"/>
              <w:left w:val="nil"/>
              <w:bottom w:val="single" w:color="auto"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四级联网完成率</w:t>
            </w:r>
          </w:p>
        </w:tc>
        <w:tc>
          <w:tcPr>
            <w:tcW w:w="748" w:type="dxa"/>
            <w:tcBorders>
              <w:top w:val="nil"/>
              <w:left w:val="nil"/>
              <w:bottom w:val="single" w:color="000000" w:sz="4" w:space="0"/>
              <w:right w:val="single" w:color="auto"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＝100%</w:t>
            </w:r>
          </w:p>
        </w:tc>
        <w:tc>
          <w:tcPr>
            <w:tcW w:w="768"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100%</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rFonts w:hint="eastAsia" w:eastAsia="宋体"/>
                <w:bCs/>
                <w:color w:val="000000"/>
                <w:sz w:val="13"/>
                <w:szCs w:val="13"/>
                <w:lang w:eastAsia="zh-CN"/>
              </w:rPr>
            </w:pPr>
          </w:p>
        </w:tc>
      </w:tr>
      <w:tr>
        <w:tblPrEx>
          <w:tblCellMar>
            <w:top w:w="0" w:type="dxa"/>
            <w:left w:w="108" w:type="dxa"/>
            <w:bottom w:w="0" w:type="dxa"/>
            <w:right w:w="108" w:type="dxa"/>
          </w:tblCellMar>
        </w:tblPrEx>
        <w:trPr>
          <w:trHeight w:val="45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nil"/>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29"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社会效益指标</w:t>
            </w:r>
          </w:p>
        </w:tc>
        <w:tc>
          <w:tcPr>
            <w:tcW w:w="1935"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color w:val="000000"/>
                <w:sz w:val="13"/>
                <w:szCs w:val="13"/>
              </w:rPr>
            </w:pPr>
            <w:r>
              <w:rPr>
                <w:rFonts w:hint="eastAsia"/>
                <w:color w:val="000000"/>
                <w:sz w:val="13"/>
                <w:szCs w:val="13"/>
              </w:rPr>
              <w:t>数据接收、传送增长率</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nil"/>
              <w:left w:val="nil"/>
              <w:bottom w:val="nil"/>
              <w:right w:val="nil"/>
            </w:tcBorders>
            <w:shd w:val="clear" w:color="auto" w:fill="auto"/>
            <w:noWrap/>
            <w:vAlign w:val="center"/>
          </w:tcPr>
          <w:p>
            <w:pPr>
              <w:spacing w:line="160" w:lineRule="exact"/>
              <w:rPr>
                <w:color w:val="000000"/>
                <w:sz w:val="13"/>
                <w:szCs w:val="13"/>
              </w:rPr>
            </w:pPr>
            <w:r>
              <w:rPr>
                <w:rFonts w:hint="eastAsia"/>
                <w:color w:val="000000"/>
                <w:sz w:val="13"/>
                <w:szCs w:val="13"/>
              </w:rPr>
              <w:t>≥70%</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92%</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644" w:hRule="exact"/>
        </w:trPr>
        <w:tc>
          <w:tcPr>
            <w:tcW w:w="431"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spacing w:line="160" w:lineRule="exact"/>
              <w:rPr>
                <w:b/>
                <w:bCs/>
                <w:color w:val="000000"/>
                <w:sz w:val="13"/>
                <w:szCs w:val="13"/>
              </w:rPr>
            </w:pPr>
          </w:p>
        </w:tc>
        <w:tc>
          <w:tcPr>
            <w:tcW w:w="64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满意度指标(</w:t>
            </w:r>
            <w:r>
              <w:rPr>
                <w:rFonts w:hint="eastAsia"/>
                <w:b/>
                <w:bCs/>
                <w:color w:val="000000"/>
                <w:sz w:val="13"/>
                <w:szCs w:val="13"/>
                <w:lang w:val="en-US" w:eastAsia="zh-CN"/>
              </w:rPr>
              <w:t>25</w:t>
            </w:r>
            <w:r>
              <w:rPr>
                <w:rFonts w:hint="eastAsia"/>
                <w:b/>
                <w:bCs/>
                <w:color w:val="000000"/>
                <w:sz w:val="13"/>
                <w:szCs w:val="13"/>
              </w:rPr>
              <w:t xml:space="preserve">分) </w:t>
            </w:r>
          </w:p>
        </w:tc>
        <w:tc>
          <w:tcPr>
            <w:tcW w:w="729" w:type="dxa"/>
            <w:tcBorders>
              <w:top w:val="single" w:color="000000" w:sz="4" w:space="0"/>
              <w:left w:val="nil"/>
              <w:bottom w:val="nil"/>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服务对象满意度指标</w:t>
            </w:r>
          </w:p>
        </w:tc>
        <w:tc>
          <w:tcPr>
            <w:tcW w:w="1935" w:type="dxa"/>
            <w:tcBorders>
              <w:top w:val="single" w:color="000000" w:sz="4" w:space="0"/>
              <w:left w:val="nil"/>
              <w:bottom w:val="single" w:color="auto" w:sz="4" w:space="0"/>
              <w:right w:val="single" w:color="000000" w:sz="4" w:space="0"/>
            </w:tcBorders>
            <w:shd w:val="clear" w:color="auto" w:fill="auto"/>
            <w:noWrap/>
            <w:vAlign w:val="center"/>
          </w:tcPr>
          <w:p>
            <w:pPr>
              <w:tabs>
                <w:tab w:val="left" w:pos="448"/>
              </w:tabs>
              <w:spacing w:line="160" w:lineRule="exact"/>
              <w:jc w:val="center"/>
              <w:rPr>
                <w:rFonts w:hint="eastAsia" w:eastAsia="宋体"/>
                <w:color w:val="000000"/>
                <w:sz w:val="13"/>
                <w:szCs w:val="13"/>
                <w:lang w:eastAsia="zh-CN"/>
              </w:rPr>
            </w:pPr>
            <w:r>
              <w:rPr>
                <w:rFonts w:hint="eastAsia"/>
                <w:color w:val="000000"/>
                <w:sz w:val="13"/>
                <w:szCs w:val="13"/>
                <w:lang w:eastAsia="zh-CN"/>
              </w:rPr>
              <w:t>工作人员满意度</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1301" w:type="dxa"/>
            <w:tcBorders>
              <w:top w:val="single" w:color="auto" w:sz="4" w:space="0"/>
              <w:left w:val="nil"/>
              <w:bottom w:val="single" w:color="auto" w:sz="4" w:space="0"/>
              <w:right w:val="single" w:color="auto" w:sz="4" w:space="0"/>
            </w:tcBorders>
            <w:shd w:val="clear" w:color="auto" w:fill="auto"/>
            <w:noWrap/>
            <w:vAlign w:val="center"/>
          </w:tcPr>
          <w:p>
            <w:pPr>
              <w:spacing w:line="160" w:lineRule="exact"/>
              <w:rPr>
                <w:color w:val="000000"/>
                <w:sz w:val="13"/>
                <w:szCs w:val="13"/>
              </w:rPr>
            </w:pPr>
            <w:r>
              <w:rPr>
                <w:rFonts w:hint="eastAsia"/>
                <w:color w:val="000000"/>
                <w:sz w:val="13"/>
                <w:szCs w:val="13"/>
              </w:rPr>
              <w:t>≥80%</w:t>
            </w:r>
          </w:p>
        </w:tc>
        <w:tc>
          <w:tcPr>
            <w:tcW w:w="768"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rPr>
                <w:rFonts w:hint="default" w:eastAsia="宋体"/>
                <w:bCs/>
                <w:color w:val="000000"/>
                <w:sz w:val="13"/>
                <w:szCs w:val="13"/>
                <w:lang w:val="en-US" w:eastAsia="zh-CN"/>
              </w:rPr>
            </w:pPr>
            <w:r>
              <w:rPr>
                <w:rFonts w:hint="eastAsia"/>
                <w:bCs/>
                <w:color w:val="000000"/>
                <w:sz w:val="13"/>
                <w:szCs w:val="13"/>
                <w:lang w:val="en-US" w:eastAsia="zh-CN"/>
              </w:rPr>
              <w:t>99%</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Cs/>
                <w:color w:val="000000"/>
                <w:sz w:val="13"/>
                <w:szCs w:val="13"/>
                <w:lang w:val="en-US" w:eastAsia="zh-CN"/>
              </w:rPr>
            </w:pPr>
            <w:r>
              <w:rPr>
                <w:rFonts w:hint="eastAsia"/>
                <w:bCs/>
                <w:color w:val="000000"/>
                <w:sz w:val="13"/>
                <w:szCs w:val="13"/>
                <w:lang w:val="en-US" w:eastAsia="zh-CN"/>
              </w:rPr>
              <w:t>25</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Cs/>
                <w:color w:val="000000"/>
                <w:sz w:val="13"/>
                <w:szCs w:val="13"/>
              </w:rPr>
            </w:pPr>
          </w:p>
        </w:tc>
      </w:tr>
      <w:tr>
        <w:tblPrEx>
          <w:tblCellMar>
            <w:top w:w="0" w:type="dxa"/>
            <w:left w:w="108" w:type="dxa"/>
            <w:bottom w:w="0" w:type="dxa"/>
            <w:right w:w="108" w:type="dxa"/>
          </w:tblCellMar>
        </w:tblPrEx>
        <w:trPr>
          <w:trHeight w:val="460" w:hRule="atLeast"/>
        </w:trPr>
        <w:tc>
          <w:tcPr>
            <w:tcW w:w="18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总分</w:t>
            </w:r>
          </w:p>
        </w:tc>
        <w:tc>
          <w:tcPr>
            <w:tcW w:w="1935"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748"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w:t>
            </w:r>
          </w:p>
        </w:tc>
        <w:tc>
          <w:tcPr>
            <w:tcW w:w="2069" w:type="dxa"/>
            <w:gridSpan w:val="2"/>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c>
          <w:tcPr>
            <w:tcW w:w="414"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100　</w:t>
            </w:r>
          </w:p>
        </w:tc>
        <w:tc>
          <w:tcPr>
            <w:tcW w:w="609" w:type="dxa"/>
            <w:tcBorders>
              <w:top w:val="nil"/>
              <w:left w:val="nil"/>
              <w:bottom w:val="single" w:color="000000" w:sz="4" w:space="0"/>
              <w:right w:val="single" w:color="000000" w:sz="4" w:space="0"/>
            </w:tcBorders>
            <w:shd w:val="clear" w:color="auto" w:fill="auto"/>
            <w:noWrap w:val="0"/>
            <w:vAlign w:val="center"/>
          </w:tcPr>
          <w:p>
            <w:pPr>
              <w:spacing w:line="160" w:lineRule="exact"/>
              <w:jc w:val="center"/>
              <w:rPr>
                <w:rFonts w:hint="default" w:eastAsia="宋体"/>
                <w:b/>
                <w:bCs/>
                <w:color w:val="000000"/>
                <w:sz w:val="13"/>
                <w:szCs w:val="13"/>
                <w:lang w:val="en-US" w:eastAsia="zh-CN"/>
              </w:rPr>
            </w:pPr>
            <w:r>
              <w:rPr>
                <w:rFonts w:hint="eastAsia"/>
                <w:b/>
                <w:bCs/>
                <w:color w:val="000000"/>
                <w:sz w:val="13"/>
                <w:szCs w:val="13"/>
                <w:lang w:val="en-US" w:eastAsia="zh-CN"/>
              </w:rPr>
              <w:t>100</w:t>
            </w:r>
          </w:p>
        </w:tc>
        <w:tc>
          <w:tcPr>
            <w:tcW w:w="850" w:type="dxa"/>
            <w:tcBorders>
              <w:top w:val="single" w:color="000000" w:sz="4" w:space="0"/>
              <w:left w:val="nil"/>
              <w:bottom w:val="single" w:color="000000" w:sz="4" w:space="0"/>
              <w:right w:val="single" w:color="000000" w:sz="4" w:space="0"/>
            </w:tcBorders>
            <w:shd w:val="clear" w:color="auto" w:fill="auto"/>
            <w:noWrap w:val="0"/>
            <w:vAlign w:val="center"/>
          </w:tcPr>
          <w:p>
            <w:pPr>
              <w:spacing w:line="160" w:lineRule="exact"/>
              <w:jc w:val="center"/>
              <w:rPr>
                <w:b/>
                <w:bCs/>
                <w:color w:val="000000"/>
                <w:sz w:val="13"/>
                <w:szCs w:val="13"/>
              </w:rPr>
            </w:pPr>
            <w:r>
              <w:rPr>
                <w:rFonts w:hint="eastAsia"/>
                <w:b/>
                <w:bCs/>
                <w:color w:val="000000"/>
                <w:sz w:val="13"/>
                <w:szCs w:val="13"/>
              </w:rPr>
              <w:t>　</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A27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不断努力小人物</cp:lastModifiedBy>
  <dcterms:modified xsi:type="dcterms:W3CDTF">2021-07-06T01:24:39Z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